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5E9" w:rsidRPr="00350355" w:rsidRDefault="003235E9" w:rsidP="00350355">
      <w:pPr>
        <w:jc w:val="center"/>
        <w:rPr>
          <w:rFonts w:ascii="Arial" w:hAnsi="Arial" w:cs="Arial"/>
          <w:sz w:val="20"/>
        </w:rPr>
      </w:pPr>
      <w:r w:rsidRPr="00350355">
        <w:rPr>
          <w:rFonts w:ascii="Arial" w:hAnsi="Arial" w:cs="Arial"/>
          <w:b/>
          <w:bCs/>
          <w:sz w:val="20"/>
        </w:rPr>
        <w:t>ESTADOS UNIDOS - ENMIENDA BYRD (DS234)</w:t>
      </w:r>
    </w:p>
    <w:p w:rsidR="003235E9" w:rsidRPr="00350355" w:rsidRDefault="003235E9" w:rsidP="00350355">
      <w:pPr>
        <w:jc w:val="center"/>
        <w:rPr>
          <w:rFonts w:ascii="Arial" w:hAnsi="Arial" w:cs="Arial"/>
          <w:sz w:val="20"/>
        </w:rPr>
      </w:pPr>
      <w:r w:rsidRPr="00350355">
        <w:rPr>
          <w:rFonts w:ascii="Arial" w:hAnsi="Arial" w:cs="Arial"/>
          <w:b/>
          <w:bCs/>
          <w:sz w:val="20"/>
        </w:rPr>
        <w:t>CONTROVERSIA SEGUIDA BAJO EL ENTENDIMIENTO SOBRE SOLUCIÓN DE DIFERENCIAS DE LA OMC.</w:t>
      </w:r>
    </w:p>
    <w:p w:rsidR="003235E9" w:rsidRPr="00350355" w:rsidRDefault="003235E9" w:rsidP="00350355">
      <w:pPr>
        <w:jc w:val="both"/>
        <w:rPr>
          <w:rFonts w:ascii="Arial" w:hAnsi="Arial" w:cs="Arial"/>
          <w:sz w:val="20"/>
        </w:rPr>
      </w:pPr>
      <w:r w:rsidRPr="00350355">
        <w:rPr>
          <w:rFonts w:ascii="Arial" w:hAnsi="Arial" w:cs="Arial"/>
          <w:b/>
          <w:bCs/>
          <w:sz w:val="20"/>
        </w:rPr>
        <w:t xml:space="preserve">Estados Unidos – Ley de Compensación por Continuación del Dumping o Mantenimiento de las Subvenciones de 2000 (DS234). </w:t>
      </w:r>
    </w:p>
    <w:p w:rsidR="003235E9" w:rsidRPr="00350355" w:rsidRDefault="003235E9" w:rsidP="00350355">
      <w:pPr>
        <w:jc w:val="both"/>
        <w:rPr>
          <w:rFonts w:ascii="Arial" w:hAnsi="Arial" w:cs="Arial"/>
          <w:sz w:val="20"/>
        </w:rPr>
      </w:pPr>
      <w:r w:rsidRPr="00350355">
        <w:rPr>
          <w:rFonts w:ascii="Arial" w:hAnsi="Arial" w:cs="Arial"/>
          <w:b/>
          <w:bCs/>
          <w:sz w:val="20"/>
        </w:rPr>
        <w:t>Reclamantes</w:t>
      </w:r>
      <w:r w:rsidRPr="00350355">
        <w:rPr>
          <w:rFonts w:ascii="Arial" w:hAnsi="Arial" w:cs="Arial"/>
          <w:sz w:val="20"/>
        </w:rPr>
        <w:t xml:space="preserve">: México y Canadá </w:t>
      </w:r>
    </w:p>
    <w:p w:rsidR="003235E9" w:rsidRPr="00350355" w:rsidRDefault="003235E9" w:rsidP="00350355">
      <w:pPr>
        <w:jc w:val="both"/>
        <w:rPr>
          <w:rFonts w:ascii="Arial" w:hAnsi="Arial" w:cs="Arial"/>
          <w:sz w:val="20"/>
        </w:rPr>
      </w:pPr>
      <w:r w:rsidRPr="00350355">
        <w:rPr>
          <w:rFonts w:ascii="Arial" w:hAnsi="Arial" w:cs="Arial"/>
          <w:sz w:val="20"/>
        </w:rPr>
        <w:t xml:space="preserve">La medida en controversia fue la Ley de Compensación por Continuación del Dumping o Mantenimiento de las Subvenciones de 2000 (Enmienda </w:t>
      </w:r>
      <w:proofErr w:type="spellStart"/>
      <w:r w:rsidRPr="00350355">
        <w:rPr>
          <w:rFonts w:ascii="Arial" w:hAnsi="Arial" w:cs="Arial"/>
          <w:sz w:val="20"/>
        </w:rPr>
        <w:t>Byrd</w:t>
      </w:r>
      <w:proofErr w:type="spellEnd"/>
      <w:r w:rsidRPr="00350355">
        <w:rPr>
          <w:rFonts w:ascii="Arial" w:hAnsi="Arial" w:cs="Arial"/>
          <w:sz w:val="20"/>
        </w:rPr>
        <w:t xml:space="preserve">), conforme a la cual, EE.UU. distribuiría anualmente entre los productores nacionales afectados los derechos antidumping o compensatorios recaudados para utilizarse en determinados gastos de producción. </w:t>
      </w:r>
    </w:p>
    <w:p w:rsidR="003235E9" w:rsidRPr="00350355" w:rsidRDefault="003235E9" w:rsidP="00350355">
      <w:pPr>
        <w:jc w:val="both"/>
        <w:rPr>
          <w:rFonts w:ascii="Arial" w:hAnsi="Arial" w:cs="Arial"/>
          <w:sz w:val="20"/>
        </w:rPr>
      </w:pPr>
      <w:r w:rsidRPr="00350355">
        <w:rPr>
          <w:rFonts w:ascii="Arial" w:hAnsi="Arial" w:cs="Arial"/>
          <w:sz w:val="20"/>
        </w:rPr>
        <w:t xml:space="preserve">El Órgano de Apelación concluyó que la Enmienda </w:t>
      </w:r>
      <w:proofErr w:type="spellStart"/>
      <w:r w:rsidRPr="00350355">
        <w:rPr>
          <w:rFonts w:ascii="Arial" w:hAnsi="Arial" w:cs="Arial"/>
          <w:sz w:val="20"/>
        </w:rPr>
        <w:t>Byrd</w:t>
      </w:r>
      <w:proofErr w:type="spellEnd"/>
      <w:r w:rsidRPr="00350355">
        <w:rPr>
          <w:rFonts w:ascii="Arial" w:hAnsi="Arial" w:cs="Arial"/>
          <w:sz w:val="20"/>
        </w:rPr>
        <w:t xml:space="preserve"> era una medida específica contra el dumping o las subvenciones, violatoria de los artículos 18 del Acuerdo Antidumping y 32 del Acuerdo sobre Subvenciones y Medidas Compensatorias. </w:t>
      </w:r>
    </w:p>
    <w:p w:rsidR="003235E9" w:rsidRPr="00350355" w:rsidRDefault="003235E9" w:rsidP="00350355">
      <w:pPr>
        <w:jc w:val="both"/>
        <w:rPr>
          <w:rFonts w:ascii="Arial" w:hAnsi="Arial" w:cs="Arial"/>
          <w:sz w:val="20"/>
        </w:rPr>
      </w:pPr>
      <w:r w:rsidRPr="00350355">
        <w:rPr>
          <w:rFonts w:ascii="Arial" w:hAnsi="Arial" w:cs="Arial"/>
          <w:sz w:val="20"/>
        </w:rPr>
        <w:t xml:space="preserve">El Órgano de Apelación determinó también que la Enmienda </w:t>
      </w:r>
      <w:proofErr w:type="spellStart"/>
      <w:r w:rsidRPr="00350355">
        <w:rPr>
          <w:rFonts w:ascii="Arial" w:hAnsi="Arial" w:cs="Arial"/>
          <w:sz w:val="20"/>
        </w:rPr>
        <w:t>Byrd</w:t>
      </w:r>
      <w:proofErr w:type="spellEnd"/>
      <w:r w:rsidRPr="00350355">
        <w:rPr>
          <w:rFonts w:ascii="Arial" w:hAnsi="Arial" w:cs="Arial"/>
          <w:sz w:val="20"/>
        </w:rPr>
        <w:t xml:space="preserve"> era incompatible con las obligaciones sobre el examen del grado de apoyo de la producción nacional para el inicio de las investigaciones antidumping y sobre subvenciones, en violación a los artículos 5 del Acuerdo Antidumping y 11 del Acuerdo sobre Subvenciones y Medidas Compensatorias. </w:t>
      </w:r>
    </w:p>
    <w:tbl>
      <w:tblPr>
        <w:tblW w:w="0" w:type="auto"/>
        <w:tblBorders>
          <w:top w:val="nil"/>
          <w:left w:val="nil"/>
          <w:bottom w:val="nil"/>
          <w:right w:val="nil"/>
        </w:tblBorders>
        <w:tblLayout w:type="fixed"/>
        <w:tblLook w:val="0000" w:firstRow="0" w:lastRow="0" w:firstColumn="0" w:lastColumn="0" w:noHBand="0" w:noVBand="0"/>
      </w:tblPr>
      <w:tblGrid>
        <w:gridCol w:w="4601"/>
        <w:gridCol w:w="4602"/>
      </w:tblGrid>
      <w:tr w:rsidR="003235E9" w:rsidRPr="00350355">
        <w:trPr>
          <w:trHeight w:val="289"/>
        </w:trPr>
        <w:tc>
          <w:tcPr>
            <w:tcW w:w="9203" w:type="dxa"/>
            <w:gridSpan w:val="2"/>
          </w:tcPr>
          <w:p w:rsidR="00350355" w:rsidRPr="00350355" w:rsidRDefault="003235E9" w:rsidP="00350355">
            <w:pPr>
              <w:ind w:right="-85"/>
              <w:jc w:val="both"/>
              <w:rPr>
                <w:rFonts w:ascii="Arial" w:hAnsi="Arial" w:cs="Arial"/>
                <w:sz w:val="20"/>
              </w:rPr>
            </w:pPr>
            <w:r w:rsidRPr="00350355">
              <w:rPr>
                <w:rFonts w:ascii="Arial" w:hAnsi="Arial" w:cs="Arial"/>
                <w:sz w:val="20"/>
              </w:rPr>
              <w:t xml:space="preserve">El Órgano de Solución de Diferencias (OSD) autorizó a México la suspensión de concesiones en virtud de que EE.UU. no cumplió con las recomendaciones del OSD en el plazo prudencial determinado mediante arbitraje conforme al artículo 21.3 (c) del Entendimiento de Solución de Diferencias (ESD). El nivel de suspensión de concesiones, determinado mediante un arbitraje de conformidad con el artículo 22.6 del ESD, fue un nivel equivalente a 0.72 por ciento por año de los desembolsos efectuados por EE.UU. conforme a la Enmienda </w:t>
            </w:r>
            <w:proofErr w:type="spellStart"/>
            <w:r w:rsidRPr="00350355">
              <w:rPr>
                <w:rFonts w:ascii="Arial" w:hAnsi="Arial" w:cs="Arial"/>
                <w:sz w:val="20"/>
              </w:rPr>
              <w:t>Byrd</w:t>
            </w:r>
            <w:proofErr w:type="spellEnd"/>
            <w:r w:rsidRPr="00350355">
              <w:rPr>
                <w:rFonts w:ascii="Arial" w:hAnsi="Arial" w:cs="Arial"/>
                <w:sz w:val="20"/>
              </w:rPr>
              <w:t xml:space="preserve"> correspondientes a las importaciones procedentes de México.</w:t>
            </w:r>
          </w:p>
          <w:p w:rsidR="003235E9" w:rsidRPr="00350355" w:rsidRDefault="003235E9" w:rsidP="00350355">
            <w:pPr>
              <w:jc w:val="both"/>
              <w:rPr>
                <w:rFonts w:ascii="Arial" w:hAnsi="Arial" w:cs="Arial"/>
                <w:sz w:val="20"/>
              </w:rPr>
            </w:pPr>
            <w:r w:rsidRPr="00350355">
              <w:rPr>
                <w:rFonts w:ascii="Arial" w:hAnsi="Arial" w:cs="Arial"/>
                <w:sz w:val="20"/>
              </w:rPr>
              <w:t xml:space="preserve"> </w:t>
            </w:r>
            <w:r w:rsidRPr="00350355">
              <w:rPr>
                <w:rFonts w:ascii="Arial" w:hAnsi="Arial" w:cs="Arial"/>
                <w:b/>
                <w:bCs/>
                <w:i/>
                <w:iCs/>
                <w:sz w:val="20"/>
              </w:rPr>
              <w:t xml:space="preserve">Documentos relevantes </w:t>
            </w:r>
          </w:p>
          <w:p w:rsidR="003235E9" w:rsidRPr="00350355" w:rsidRDefault="003235E9" w:rsidP="00350355">
            <w:pPr>
              <w:jc w:val="both"/>
              <w:rPr>
                <w:rFonts w:ascii="Arial" w:hAnsi="Arial" w:cs="Arial"/>
                <w:sz w:val="20"/>
              </w:rPr>
            </w:pPr>
            <w:r w:rsidRPr="00350355">
              <w:rPr>
                <w:rFonts w:ascii="Arial" w:hAnsi="Arial" w:cs="Arial"/>
                <w:b/>
                <w:bCs/>
                <w:sz w:val="20"/>
              </w:rPr>
              <w:t xml:space="preserve">Fecha del documento </w:t>
            </w:r>
          </w:p>
        </w:tc>
      </w:tr>
      <w:tr w:rsidR="003235E9" w:rsidRPr="00350355">
        <w:trPr>
          <w:trHeight w:val="106"/>
        </w:trPr>
        <w:tc>
          <w:tcPr>
            <w:tcW w:w="4601" w:type="dxa"/>
          </w:tcPr>
          <w:p w:rsidR="003235E9" w:rsidRPr="00350355" w:rsidRDefault="003235E9" w:rsidP="00350355">
            <w:pPr>
              <w:jc w:val="both"/>
              <w:rPr>
                <w:rFonts w:ascii="Arial" w:hAnsi="Arial" w:cs="Arial"/>
                <w:sz w:val="20"/>
              </w:rPr>
            </w:pPr>
            <w:r w:rsidRPr="00350355">
              <w:rPr>
                <w:rFonts w:ascii="Arial" w:hAnsi="Arial" w:cs="Arial"/>
                <w:sz w:val="20"/>
              </w:rPr>
              <w:t xml:space="preserve">21 de mayo de 2001 </w:t>
            </w:r>
          </w:p>
        </w:tc>
        <w:tc>
          <w:tcPr>
            <w:tcW w:w="4601" w:type="dxa"/>
          </w:tcPr>
          <w:p w:rsidR="003235E9" w:rsidRPr="00350355" w:rsidRDefault="00DE6459" w:rsidP="00350355">
            <w:pPr>
              <w:jc w:val="both"/>
              <w:rPr>
                <w:rFonts w:ascii="Arial" w:hAnsi="Arial" w:cs="Arial"/>
                <w:sz w:val="20"/>
              </w:rPr>
            </w:pPr>
            <w:hyperlink r:id="rId5" w:history="1">
              <w:r w:rsidR="003235E9" w:rsidRPr="00DE6459">
                <w:rPr>
                  <w:rStyle w:val="Hipervnculo"/>
                  <w:rFonts w:ascii="Arial" w:hAnsi="Arial" w:cs="Arial"/>
                  <w:b/>
                  <w:bCs/>
                  <w:sz w:val="20"/>
                </w:rPr>
                <w:t>Solicitud de consultas</w:t>
              </w:r>
            </w:hyperlink>
            <w:r w:rsidR="003235E9" w:rsidRPr="00350355">
              <w:rPr>
                <w:rFonts w:ascii="Arial" w:hAnsi="Arial" w:cs="Arial"/>
                <w:b/>
                <w:bCs/>
                <w:sz w:val="20"/>
              </w:rPr>
              <w:t xml:space="preserve"> </w:t>
            </w:r>
          </w:p>
        </w:tc>
      </w:tr>
      <w:tr w:rsidR="003235E9" w:rsidRPr="00350355">
        <w:trPr>
          <w:trHeight w:val="106"/>
        </w:trPr>
        <w:tc>
          <w:tcPr>
            <w:tcW w:w="4601" w:type="dxa"/>
          </w:tcPr>
          <w:p w:rsidR="003235E9" w:rsidRPr="00350355" w:rsidRDefault="003235E9" w:rsidP="00350355">
            <w:pPr>
              <w:jc w:val="both"/>
              <w:rPr>
                <w:rFonts w:ascii="Arial" w:hAnsi="Arial" w:cs="Arial"/>
                <w:sz w:val="20"/>
              </w:rPr>
            </w:pPr>
            <w:r w:rsidRPr="00350355">
              <w:rPr>
                <w:rFonts w:ascii="Arial" w:hAnsi="Arial" w:cs="Arial"/>
                <w:sz w:val="20"/>
              </w:rPr>
              <w:t xml:space="preserve">10 de agosto de 2001 </w:t>
            </w:r>
          </w:p>
        </w:tc>
        <w:tc>
          <w:tcPr>
            <w:tcW w:w="4601" w:type="dxa"/>
          </w:tcPr>
          <w:p w:rsidR="003235E9" w:rsidRPr="00350355" w:rsidRDefault="00DE6459" w:rsidP="00350355">
            <w:pPr>
              <w:jc w:val="both"/>
              <w:rPr>
                <w:rFonts w:ascii="Arial" w:hAnsi="Arial" w:cs="Arial"/>
                <w:sz w:val="20"/>
              </w:rPr>
            </w:pPr>
            <w:hyperlink r:id="rId6" w:history="1">
              <w:r w:rsidR="003235E9" w:rsidRPr="00DE6459">
                <w:rPr>
                  <w:rStyle w:val="Hipervnculo"/>
                  <w:rFonts w:ascii="Arial" w:hAnsi="Arial" w:cs="Arial"/>
                  <w:b/>
                  <w:bCs/>
                  <w:sz w:val="20"/>
                </w:rPr>
                <w:t>Solicitud de establecimiento de Grupo Especial</w:t>
              </w:r>
            </w:hyperlink>
            <w:r w:rsidR="003235E9" w:rsidRPr="00350355">
              <w:rPr>
                <w:rFonts w:ascii="Arial" w:hAnsi="Arial" w:cs="Arial"/>
                <w:b/>
                <w:bCs/>
                <w:sz w:val="20"/>
              </w:rPr>
              <w:t xml:space="preserve"> </w:t>
            </w:r>
          </w:p>
        </w:tc>
      </w:tr>
      <w:tr w:rsidR="003235E9" w:rsidRPr="00350355">
        <w:trPr>
          <w:trHeight w:val="106"/>
        </w:trPr>
        <w:tc>
          <w:tcPr>
            <w:tcW w:w="4601" w:type="dxa"/>
          </w:tcPr>
          <w:p w:rsidR="003235E9" w:rsidRPr="00350355" w:rsidRDefault="003235E9" w:rsidP="00350355">
            <w:pPr>
              <w:jc w:val="both"/>
              <w:rPr>
                <w:rFonts w:ascii="Arial" w:hAnsi="Arial" w:cs="Arial"/>
                <w:sz w:val="20"/>
              </w:rPr>
            </w:pPr>
            <w:r w:rsidRPr="00350355">
              <w:rPr>
                <w:rFonts w:ascii="Arial" w:hAnsi="Arial" w:cs="Arial"/>
                <w:sz w:val="20"/>
              </w:rPr>
              <w:t xml:space="preserve">16 de septiembre de 2002 </w:t>
            </w:r>
          </w:p>
        </w:tc>
        <w:tc>
          <w:tcPr>
            <w:tcW w:w="4601" w:type="dxa"/>
          </w:tcPr>
          <w:p w:rsidR="003235E9" w:rsidRPr="00350355" w:rsidRDefault="00DE6459" w:rsidP="00350355">
            <w:pPr>
              <w:jc w:val="both"/>
              <w:rPr>
                <w:rFonts w:ascii="Arial" w:hAnsi="Arial" w:cs="Arial"/>
                <w:sz w:val="20"/>
              </w:rPr>
            </w:pPr>
            <w:hyperlink r:id="rId7" w:history="1">
              <w:r w:rsidR="003235E9" w:rsidRPr="00DE6459">
                <w:rPr>
                  <w:rStyle w:val="Hipervnculo"/>
                  <w:rFonts w:ascii="Arial" w:hAnsi="Arial" w:cs="Arial"/>
                  <w:b/>
                  <w:bCs/>
                  <w:sz w:val="20"/>
                </w:rPr>
                <w:t>Informe del Grupo Especial</w:t>
              </w:r>
            </w:hyperlink>
            <w:r w:rsidR="003235E9" w:rsidRPr="00350355">
              <w:rPr>
                <w:rFonts w:ascii="Arial" w:hAnsi="Arial" w:cs="Arial"/>
                <w:b/>
                <w:bCs/>
                <w:sz w:val="20"/>
              </w:rPr>
              <w:t xml:space="preserve"> </w:t>
            </w:r>
          </w:p>
        </w:tc>
      </w:tr>
      <w:tr w:rsidR="003235E9" w:rsidRPr="00350355">
        <w:trPr>
          <w:trHeight w:val="106"/>
        </w:trPr>
        <w:tc>
          <w:tcPr>
            <w:tcW w:w="4601" w:type="dxa"/>
          </w:tcPr>
          <w:p w:rsidR="003235E9" w:rsidRPr="00350355" w:rsidRDefault="003235E9" w:rsidP="00350355">
            <w:pPr>
              <w:jc w:val="both"/>
              <w:rPr>
                <w:rFonts w:ascii="Arial" w:hAnsi="Arial" w:cs="Arial"/>
                <w:sz w:val="20"/>
              </w:rPr>
            </w:pPr>
            <w:r w:rsidRPr="00350355">
              <w:rPr>
                <w:rFonts w:ascii="Arial" w:hAnsi="Arial" w:cs="Arial"/>
                <w:sz w:val="20"/>
              </w:rPr>
              <w:t xml:space="preserve">16 de enero de 2003 </w:t>
            </w:r>
          </w:p>
        </w:tc>
        <w:tc>
          <w:tcPr>
            <w:tcW w:w="4601" w:type="dxa"/>
          </w:tcPr>
          <w:p w:rsidR="003235E9" w:rsidRPr="00350355" w:rsidRDefault="00DE6459" w:rsidP="00350355">
            <w:pPr>
              <w:jc w:val="both"/>
              <w:rPr>
                <w:rFonts w:ascii="Arial" w:hAnsi="Arial" w:cs="Arial"/>
                <w:sz w:val="20"/>
              </w:rPr>
            </w:pPr>
            <w:hyperlink r:id="rId8" w:history="1">
              <w:r w:rsidR="003235E9" w:rsidRPr="00DE6459">
                <w:rPr>
                  <w:rStyle w:val="Hipervnculo"/>
                  <w:rFonts w:ascii="Arial" w:hAnsi="Arial" w:cs="Arial"/>
                  <w:b/>
                  <w:bCs/>
                  <w:sz w:val="20"/>
                </w:rPr>
                <w:t>Informe del Órgano de Apelación</w:t>
              </w:r>
            </w:hyperlink>
            <w:r w:rsidR="003235E9" w:rsidRPr="00350355">
              <w:rPr>
                <w:rFonts w:ascii="Arial" w:hAnsi="Arial" w:cs="Arial"/>
                <w:b/>
                <w:bCs/>
                <w:sz w:val="20"/>
              </w:rPr>
              <w:t xml:space="preserve"> </w:t>
            </w:r>
          </w:p>
        </w:tc>
      </w:tr>
      <w:tr w:rsidR="003235E9" w:rsidRPr="00350355">
        <w:trPr>
          <w:trHeight w:val="234"/>
        </w:trPr>
        <w:tc>
          <w:tcPr>
            <w:tcW w:w="4601" w:type="dxa"/>
          </w:tcPr>
          <w:p w:rsidR="003235E9" w:rsidRPr="00350355" w:rsidRDefault="003235E9" w:rsidP="00350355">
            <w:pPr>
              <w:jc w:val="both"/>
              <w:rPr>
                <w:rFonts w:ascii="Arial" w:hAnsi="Arial" w:cs="Arial"/>
                <w:sz w:val="20"/>
              </w:rPr>
            </w:pPr>
            <w:r w:rsidRPr="00350355">
              <w:rPr>
                <w:rFonts w:ascii="Arial" w:hAnsi="Arial" w:cs="Arial"/>
                <w:sz w:val="20"/>
              </w:rPr>
              <w:t xml:space="preserve">13 de junio de 2003 </w:t>
            </w:r>
          </w:p>
        </w:tc>
        <w:tc>
          <w:tcPr>
            <w:tcW w:w="4601" w:type="dxa"/>
          </w:tcPr>
          <w:p w:rsidR="003235E9" w:rsidRPr="00350355" w:rsidRDefault="00DE6459" w:rsidP="00350355">
            <w:pPr>
              <w:jc w:val="both"/>
              <w:rPr>
                <w:rFonts w:ascii="Arial" w:hAnsi="Arial" w:cs="Arial"/>
                <w:sz w:val="20"/>
              </w:rPr>
            </w:pPr>
            <w:hyperlink r:id="rId9" w:history="1">
              <w:r w:rsidR="003235E9" w:rsidRPr="00DE6459">
                <w:rPr>
                  <w:rStyle w:val="Hipervnculo"/>
                  <w:rFonts w:ascii="Arial" w:hAnsi="Arial" w:cs="Arial"/>
                  <w:b/>
                  <w:bCs/>
                  <w:sz w:val="20"/>
                </w:rPr>
                <w:t>Informe arbitral conforme al artículo 21.3 (c) del ESD</w:t>
              </w:r>
            </w:hyperlink>
            <w:r w:rsidR="003235E9" w:rsidRPr="00350355">
              <w:rPr>
                <w:rFonts w:ascii="Arial" w:hAnsi="Arial" w:cs="Arial"/>
                <w:b/>
                <w:bCs/>
                <w:sz w:val="20"/>
              </w:rPr>
              <w:t xml:space="preserve"> </w:t>
            </w:r>
          </w:p>
        </w:tc>
      </w:tr>
      <w:tr w:rsidR="003235E9" w:rsidRPr="00350355">
        <w:trPr>
          <w:trHeight w:val="234"/>
        </w:trPr>
        <w:tc>
          <w:tcPr>
            <w:tcW w:w="4601" w:type="dxa"/>
          </w:tcPr>
          <w:p w:rsidR="003235E9" w:rsidRPr="00350355" w:rsidRDefault="003235E9" w:rsidP="00350355">
            <w:pPr>
              <w:jc w:val="both"/>
              <w:rPr>
                <w:rFonts w:ascii="Arial" w:hAnsi="Arial" w:cs="Arial"/>
                <w:sz w:val="20"/>
              </w:rPr>
            </w:pPr>
            <w:r w:rsidRPr="00350355">
              <w:rPr>
                <w:rFonts w:ascii="Arial" w:hAnsi="Arial" w:cs="Arial"/>
                <w:sz w:val="20"/>
              </w:rPr>
              <w:t xml:space="preserve">31 de agosto de 2004 </w:t>
            </w:r>
          </w:p>
        </w:tc>
        <w:tc>
          <w:tcPr>
            <w:tcW w:w="4601" w:type="dxa"/>
          </w:tcPr>
          <w:p w:rsidR="003235E9" w:rsidRPr="00350355" w:rsidRDefault="00DE6459" w:rsidP="00350355">
            <w:pPr>
              <w:jc w:val="both"/>
              <w:rPr>
                <w:rFonts w:ascii="Arial" w:hAnsi="Arial" w:cs="Arial"/>
                <w:sz w:val="20"/>
              </w:rPr>
            </w:pPr>
            <w:hyperlink r:id="rId10" w:history="1">
              <w:r w:rsidR="003235E9" w:rsidRPr="00DE6459">
                <w:rPr>
                  <w:rStyle w:val="Hipervnculo"/>
                  <w:rFonts w:ascii="Arial" w:hAnsi="Arial" w:cs="Arial"/>
                  <w:b/>
                  <w:bCs/>
                  <w:sz w:val="20"/>
                </w:rPr>
                <w:t>Informe arbitral conforme al artículo 22.6 del ESD</w:t>
              </w:r>
            </w:hyperlink>
            <w:bookmarkStart w:id="0" w:name="_GoBack"/>
            <w:bookmarkEnd w:id="0"/>
            <w:r w:rsidR="003235E9" w:rsidRPr="00350355">
              <w:rPr>
                <w:rFonts w:ascii="Arial" w:hAnsi="Arial" w:cs="Arial"/>
                <w:b/>
                <w:bCs/>
                <w:sz w:val="20"/>
              </w:rPr>
              <w:t xml:space="preserve"> </w:t>
            </w:r>
          </w:p>
        </w:tc>
      </w:tr>
    </w:tbl>
    <w:p w:rsidR="00BA64BF" w:rsidRPr="00350355" w:rsidRDefault="00BA64BF" w:rsidP="00350355">
      <w:pPr>
        <w:jc w:val="both"/>
        <w:rPr>
          <w:rFonts w:ascii="Arial" w:hAnsi="Arial" w:cs="Arial"/>
          <w:sz w:val="20"/>
        </w:rPr>
      </w:pPr>
    </w:p>
    <w:sectPr w:rsidR="00BA64BF" w:rsidRPr="00350355" w:rsidSect="00350355">
      <w:pgSz w:w="12240" w:h="15840"/>
      <w:pgMar w:top="1417" w:right="1467"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5E9"/>
    <w:rsid w:val="000467AB"/>
    <w:rsid w:val="003235E9"/>
    <w:rsid w:val="00350355"/>
    <w:rsid w:val="00BA64BF"/>
    <w:rsid w:val="00CE4824"/>
    <w:rsid w:val="00DE645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E64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E64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Informe_del_Organo_de_Apelacion.pdf" TargetMode="External"/><Relationship Id="rId3" Type="http://schemas.openxmlformats.org/officeDocument/2006/relationships/settings" Target="settings.xml"/><Relationship Id="rId7" Type="http://schemas.openxmlformats.org/officeDocument/2006/relationships/hyperlink" Target="Informe_del_Grupo_Especial.pdf"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Solicitud_de_establecimiento_de_Grupo_Especial.pdf" TargetMode="External"/><Relationship Id="rId11" Type="http://schemas.openxmlformats.org/officeDocument/2006/relationships/fontTable" Target="fontTable.xml"/><Relationship Id="rId5" Type="http://schemas.openxmlformats.org/officeDocument/2006/relationships/hyperlink" Target="Solicitud_de_Consultas.pdf" TargetMode="External"/><Relationship Id="rId10" Type="http://schemas.openxmlformats.org/officeDocument/2006/relationships/hyperlink" Target="Informe_Arbitral_conforme_al_articulo_226_del_ESD.pdf" TargetMode="External"/><Relationship Id="rId4" Type="http://schemas.openxmlformats.org/officeDocument/2006/relationships/webSettings" Target="webSettings.xml"/><Relationship Id="rId9" Type="http://schemas.openxmlformats.org/officeDocument/2006/relationships/hyperlink" Target="Informe_Arbitral_conforme_al_articulo_213c_del_ESD.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396</Words>
  <Characters>2181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Rayo Zapata</dc:creator>
  <cp:lastModifiedBy>Martin Guzman Abarca</cp:lastModifiedBy>
  <cp:revision>2</cp:revision>
  <dcterms:created xsi:type="dcterms:W3CDTF">2012-02-07T17:56:00Z</dcterms:created>
  <dcterms:modified xsi:type="dcterms:W3CDTF">2012-02-07T19:54:00Z</dcterms:modified>
</cp:coreProperties>
</file>